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2019/16 vom 15. September 2020</w:t>
      </w:r>
    </w:p>
    <w:p>
      <w:r>
        <w:t>Sg Versicherungsgericht, 2020-09-15, DE</w:t>
      </w:r>
    </w:p>
    <w:p>
      <w:r>
        <w:rPr>
          <w:b/>
        </w:rPr>
        <w:t xml:space="preserve">Quelle: </w:t>
      </w:r>
      <w:r>
        <w:t>https://mcp.opencaselaw.ch/entscheid/sg_publikationen_UV 2019_16</w:t>
      </w:r>
    </w:p>
    <w:p>
      <w:r>
        <w:t>FR: SG_VERSICHERUNGSGERICHT UV 2019/16 du 15 septembre 2020</w:t>
      </w:r>
    </w:p>
    <w:p>
      <w:r>
        <w:t>IT: SG_VERSICHERUNGSGERICHT UV 2019/16 del 15 settembre 2020</w:t>
      </w:r>
    </w:p>
    <w:p>
      <w:pPr>
        <w:pStyle w:val="Heading2"/>
      </w:pPr>
      <w:r>
        <w:t>Regeste</w:t>
      </w:r>
    </w:p>
    <w:p>
      <w:r>
        <w:t>Art. 10 UVG: Verneinung der Kausalität zwischen einem Sturz auf die linke Schulter und einer linksseitigen ansatznahen Supraspinatussehnenveränderung anhand verschiedener Beurteilungskriterien, wie Unfallhergang, zeitlicher Ablauf, initiale Beschwerdesymptomatik, Gesamtsituation des linken Schultergelenks, Epidemiologie (Entscheid des Versicherungsgerichts des Kantons St. Gallen vom 15. September 2020, UV 2019/16).</w:t>
      </w:r>
    </w:p>
    <w:p>
      <w:pPr>
        <w:pStyle w:val="Heading2"/>
      </w:pPr>
      <w:r>
        <w:t>Erwägungen</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